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«Байқоныс ауылының ЖОББ мектебі»КММ жанындағы</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«Қарлығаш» шағын орталығы</w:t>
      </w:r>
    </w:p>
    <w:p w:rsidR="00CB19AC" w:rsidRPr="00CB19AC" w:rsidRDefault="00CB19AC" w:rsidP="00CB19AC">
      <w:pPr>
        <w:rPr>
          <w:rFonts w:ascii="Times New Roman" w:hAnsi="Times New Roman" w:cs="Times New Roman"/>
          <w:noProof/>
          <w:sz w:val="28"/>
          <w:lang w:eastAsia="ru-RU"/>
        </w:rPr>
      </w:pP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 xml:space="preserve">                                                                                       10.11.2025ж</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Тақырыбы: «Мектепке дейінгі білім беруді ваучерлік қаржыландыру»</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Барлығы:19</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Күн тәртібіне қатысқан ата – аналар саны: 13</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Күн тәртібінде:</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1.«Мектепке дейінгі ұйымдарда ваучерлік қаржыландыруды іске асыру туралы білім беру»</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 xml:space="preserve">Ваучерлік қаржыландыру  жобаларын іске асыру мәселелері туралы түсінік беру.   </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Мектеп басшысы:Сануар.Б</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 xml:space="preserve">2.Ваучерлік қаржыландыру қағидаттары.«Қарлығаш» шағын орталығындағы </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Әдіскер: Хинаят Нуржан</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 xml:space="preserve">3. Ваучер бізге не береді? .«Қарлығаш» шағын орталығындағы </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Әдіскер: Хинаят Нуржан</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4.Ата-аналар тарапыннан әр түрлі сұрақтар.</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Тыңдалды:</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1.Мектеп басшысы мектепке дейінгі ұйымдарда ваучерлік қаржыландыруды іске асыру туралы түсінік берді. Әлеуметтік әмиянды енгізу және мектепке дейінгі және қосымша білім беруді ваучерлік  қаржыландыру жобаларын іске асыру мәселелері жөніндегі кеңестің хаттамасымен таныстырды.</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2025 жылғы 29 мамырдағы Қазақстан Республикасы Президентінің көмекшісі Т. Б. Дүйсенова бағдарламасы туралы мәлімдеді. Қазақстан Республикасы Білім министрлігінің бұйрығы 2024 жылғы 30 желтоқсандағы №372 Білім министрі Г. Бейсембаев</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«Білім беру қызметтерін алушылар бойынша ваучерлік қаржыландыруды ескере отырып,мектепке дейінгі тәрбие мен оқытуға мемлекеттік білім беру тапсырысын орналастыру жөніндегі пилоттық жобаның кейбір мәселелері туралы»мәлімдеді.</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lastRenderedPageBreak/>
        <w:t>2. «Қарлығаш» шағын орталығының әдіскері Хинаят.Н Ваучерлік қаржыландыру қағидаттары туралы көрсетіп түсіндірді.</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3. Сондай-ақ «Қарлығаш» шағын орталығының әдіскері Хинаят.Н Ваучер бізге не береді?осы сұрақ бойынша түсінік берді.Атап айтсақ кезекке тұру түбегейлі өзгереді, бос орындар әділ бөлінеді т.с.с</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 xml:space="preserve">4. Әр түрлі сұрақтар.Ата-аналар тарапыннан қойылған сұрақтарға мектеп басшысы жауап берді. </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 xml:space="preserve">Шешімі: 1. Мектеп басшысы ваучерлік қаржыландыруды іске асыру бойынша хаттама жазылып бекітіледі, әр ата-ана қажетті құжаттарды толығымен жинақтап ваучерге енгізуді тапсырды. </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2. «Қарлығаш» шағын орталығының әдіскері Хинаят.Н Ваучер бойынша қойылған сұрақтарға жауап беруге мектеп басшысының хатшысы Армия.А және «Қарлығаш»шағын орталығының тәрбиешісі Жаматы.А тағайындалғанын айтты.</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3. «Қарлығаш» шағын орталығының әдіскері Хинаят.Н Ваучер туралы бейне материал арқылы түсіндіріп өтті.</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4.Әр түрлі сұрақтар бойынша ата-аналар өз ұсыныстарын еркін жеткізіп, Ата-аналар тарапыннан қойылған сұрақтарға толықтай жауап берілді, қараша айының 16-на дейін толық ваучерлік қаржыландыру жобасына өтуге тапсырма берілді.</w:t>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 xml:space="preserve"> </w:t>
      </w:r>
      <w:r w:rsidRPr="00CB19AC">
        <w:rPr>
          <w:rFonts w:ascii="Times New Roman" w:hAnsi="Times New Roman" w:cs="Times New Roman"/>
          <w:noProof/>
          <w:sz w:val="28"/>
          <w:lang w:eastAsia="ru-RU"/>
        </w:rPr>
        <w:tab/>
      </w:r>
    </w:p>
    <w:p w:rsidR="00CB19AC" w:rsidRPr="00CB19AC" w:rsidRDefault="00CB19AC" w:rsidP="00CB19AC">
      <w:pPr>
        <w:rPr>
          <w:rFonts w:ascii="Times New Roman" w:hAnsi="Times New Roman" w:cs="Times New Roman"/>
          <w:noProof/>
          <w:sz w:val="28"/>
          <w:lang w:eastAsia="ru-RU"/>
        </w:rPr>
      </w:pPr>
      <w:r w:rsidRPr="00CB19AC">
        <w:rPr>
          <w:rFonts w:ascii="Times New Roman" w:hAnsi="Times New Roman" w:cs="Times New Roman"/>
          <w:noProof/>
          <w:sz w:val="28"/>
          <w:lang w:eastAsia="ru-RU"/>
        </w:rPr>
        <w:t>Әдіскер:                                Хинаят.Н</w:t>
      </w:r>
    </w:p>
    <w:p w:rsidR="00CB19AC" w:rsidRDefault="00CB19AC" w:rsidP="00CB19AC">
      <w:pPr>
        <w:rPr>
          <w:noProof/>
          <w:lang w:eastAsia="ru-RU"/>
        </w:rPr>
      </w:pPr>
      <w:r w:rsidRPr="00CB19AC">
        <w:rPr>
          <w:rFonts w:ascii="Times New Roman" w:hAnsi="Times New Roman" w:cs="Times New Roman"/>
          <w:noProof/>
          <w:sz w:val="28"/>
          <w:lang w:eastAsia="ru-RU"/>
        </w:rPr>
        <w:t>Тәрбиеші:                              Жаматы.А</w:t>
      </w:r>
    </w:p>
    <w:p w:rsidR="00CB19AC" w:rsidRDefault="00CB19AC">
      <w:pPr>
        <w:rPr>
          <w:noProof/>
          <w:lang w:eastAsia="ru-RU"/>
        </w:rPr>
      </w:pPr>
    </w:p>
    <w:p w:rsidR="00CB19AC" w:rsidRDefault="00CB19AC">
      <w:pPr>
        <w:rPr>
          <w:noProof/>
          <w:lang w:eastAsia="ru-RU"/>
        </w:rPr>
      </w:pPr>
    </w:p>
    <w:p w:rsidR="00CB19AC" w:rsidRDefault="00CB19AC">
      <w:pPr>
        <w:rPr>
          <w:noProof/>
          <w:lang w:eastAsia="ru-RU"/>
        </w:rPr>
      </w:pPr>
    </w:p>
    <w:p w:rsidR="00CB19AC" w:rsidRDefault="00CB19AC">
      <w:pPr>
        <w:rPr>
          <w:noProof/>
          <w:lang w:eastAsia="ru-RU"/>
        </w:rPr>
      </w:pPr>
    </w:p>
    <w:p w:rsidR="00CB19AC" w:rsidRDefault="00CB19AC">
      <w:pPr>
        <w:rPr>
          <w:noProof/>
          <w:lang w:eastAsia="ru-RU"/>
        </w:rPr>
      </w:pPr>
    </w:p>
    <w:p w:rsidR="00CB19AC" w:rsidRDefault="00CB19AC">
      <w:pPr>
        <w:rPr>
          <w:noProof/>
          <w:lang w:eastAsia="ru-RU"/>
        </w:rPr>
      </w:pPr>
    </w:p>
    <w:p w:rsidR="00CB19AC" w:rsidRDefault="00CB19AC">
      <w:pPr>
        <w:rPr>
          <w:noProof/>
          <w:lang w:eastAsia="ru-RU"/>
        </w:rPr>
      </w:pPr>
    </w:p>
    <w:p w:rsidR="00CB19AC" w:rsidRDefault="00CB19AC">
      <w:pPr>
        <w:rPr>
          <w:noProof/>
          <w:lang w:eastAsia="ru-RU"/>
        </w:rPr>
      </w:pPr>
    </w:p>
    <w:p w:rsidR="00CB19AC" w:rsidRDefault="00CB19AC">
      <w:bookmarkStart w:id="0" w:name="_GoBack"/>
      <w:bookmarkEnd w:id="0"/>
    </w:p>
    <w:p w:rsidR="00CB19AC" w:rsidRDefault="00CB19AC"/>
    <w:p w:rsidR="00CB19AC" w:rsidRDefault="00CB19AC">
      <w:pPr>
        <w:rPr>
          <w:lang w:val="kk-KZ"/>
        </w:rPr>
      </w:pPr>
      <w:r>
        <w:rPr>
          <w:noProof/>
          <w:lang w:eastAsia="ru-RU"/>
        </w:rPr>
        <w:lastRenderedPageBreak/>
        <w:drawing>
          <wp:inline distT="0" distB="0" distL="0" distR="0">
            <wp:extent cx="2773680" cy="3977640"/>
            <wp:effectExtent l="0" t="0" r="7620" b="381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6-01-12 at 10.51.17 (1).jpe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73680" cy="3977640"/>
                    </a:xfrm>
                    <a:prstGeom prst="rect">
                      <a:avLst/>
                    </a:prstGeom>
                  </pic:spPr>
                </pic:pic>
              </a:graphicData>
            </a:graphic>
          </wp:inline>
        </w:drawing>
      </w:r>
      <w:r>
        <w:rPr>
          <w:lang w:val="kk-KZ"/>
        </w:rPr>
        <w:t xml:space="preserve">        </w:t>
      </w:r>
      <w:r>
        <w:rPr>
          <w:noProof/>
          <w:lang w:eastAsia="ru-RU"/>
        </w:rPr>
        <w:drawing>
          <wp:inline distT="0" distB="0" distL="0" distR="0">
            <wp:extent cx="2903220" cy="3916680"/>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6-01-12 at 10.51.18 (2).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03220" cy="3916680"/>
                    </a:xfrm>
                    <a:prstGeom prst="rect">
                      <a:avLst/>
                    </a:prstGeom>
                  </pic:spPr>
                </pic:pic>
              </a:graphicData>
            </a:graphic>
          </wp:inline>
        </w:drawing>
      </w:r>
    </w:p>
    <w:p w:rsidR="00CB19AC" w:rsidRDefault="00CB19AC">
      <w:pPr>
        <w:rPr>
          <w:lang w:val="kk-KZ"/>
        </w:rPr>
      </w:pPr>
    </w:p>
    <w:p w:rsidR="00CB19AC" w:rsidRDefault="00CB19AC">
      <w:pPr>
        <w:rPr>
          <w:lang w:val="kk-KZ"/>
        </w:rPr>
      </w:pPr>
    </w:p>
    <w:p w:rsidR="00CB19AC" w:rsidRDefault="00CB19AC">
      <w:pPr>
        <w:rPr>
          <w:lang w:val="kk-KZ"/>
        </w:rPr>
      </w:pPr>
      <w:r>
        <w:rPr>
          <w:noProof/>
          <w:lang w:eastAsia="ru-RU"/>
        </w:rPr>
        <w:drawing>
          <wp:inline distT="0" distB="0" distL="0" distR="0" wp14:anchorId="3C6A35E0" wp14:editId="51A1961C">
            <wp:extent cx="5737860" cy="3406140"/>
            <wp:effectExtent l="0" t="0" r="0" b="381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hatsApp Image 2026-01-12 at 10.51.17 (2).jpeg"/>
                    <pic:cNvPicPr/>
                  </pic:nvPicPr>
                  <pic:blipFill>
                    <a:blip r:embed="rId6">
                      <a:extLst>
                        <a:ext uri="{28A0092B-C50C-407E-A947-70E740481C1C}">
                          <a14:useLocalDpi xmlns:a14="http://schemas.microsoft.com/office/drawing/2010/main" val="0"/>
                        </a:ext>
                      </a:extLst>
                    </a:blip>
                    <a:stretch>
                      <a:fillRect/>
                    </a:stretch>
                  </pic:blipFill>
                  <pic:spPr>
                    <a:xfrm>
                      <a:off x="0" y="0"/>
                      <a:ext cx="5737860" cy="3406140"/>
                    </a:xfrm>
                    <a:prstGeom prst="rect">
                      <a:avLst/>
                    </a:prstGeom>
                  </pic:spPr>
                </pic:pic>
              </a:graphicData>
            </a:graphic>
          </wp:inline>
        </w:drawing>
      </w:r>
    </w:p>
    <w:p w:rsidR="00CB19AC" w:rsidRPr="00CB19AC" w:rsidRDefault="00CB19AC">
      <w:pPr>
        <w:rPr>
          <w:lang w:val="kk-KZ"/>
        </w:rPr>
      </w:pPr>
      <w:r>
        <w:rPr>
          <w:lang w:val="kk-KZ"/>
        </w:rPr>
        <w:t xml:space="preserve">    </w:t>
      </w:r>
    </w:p>
    <w:sectPr w:rsidR="00CB19AC" w:rsidRPr="00CB1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CA5"/>
    <w:rsid w:val="00583ABA"/>
    <w:rsid w:val="00BC5CA5"/>
    <w:rsid w:val="00CB19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181DEB-E22C-4ECE-9008-41C0A0D66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2026-01-12T05:53:00Z</dcterms:created>
  <dcterms:modified xsi:type="dcterms:W3CDTF">2026-01-12T06:01:00Z</dcterms:modified>
</cp:coreProperties>
</file>